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3A38915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225F6D">
        <w:rPr>
          <w:noProof w:val="0"/>
          <w:sz w:val="24"/>
          <w:szCs w:val="24"/>
        </w:rPr>
        <w:t>3</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7D3264">
        <w:rPr>
          <w:bCs/>
          <w:noProof w:val="0"/>
          <w:sz w:val="24"/>
          <w:szCs w:val="24"/>
        </w:rPr>
        <w:t>3686</w:t>
      </w:r>
    </w:p>
    <w:p w14:paraId="1822B173" w14:textId="6D946DDE"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225F6D" w:rsidRPr="00225F6D">
        <w:rPr>
          <w:rFonts w:cs="Arial"/>
          <w:sz w:val="24"/>
          <w:szCs w:val="24"/>
          <w:lang w:val="en-US"/>
        </w:rPr>
        <w:t>16 – 26 August</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59A684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103F2">
        <w:rPr>
          <w:rFonts w:cs="Arial"/>
          <w:b/>
          <w:bCs/>
          <w:sz w:val="24"/>
          <w:lang w:val="en-US" w:eastAsia="ja-JP"/>
        </w:rPr>
        <w:t>15.4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1A8CDB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16C95">
        <w:rPr>
          <w:rFonts w:ascii="Arial" w:hAnsi="Arial" w:cs="Arial"/>
          <w:b/>
          <w:bCs/>
          <w:sz w:val="24"/>
        </w:rPr>
        <w:t xml:space="preserve">Remaining open issues </w:t>
      </w:r>
      <w:r w:rsidR="00E16C95" w:rsidRPr="00E16C95">
        <w:rPr>
          <w:rFonts w:ascii="Arial" w:hAnsi="Arial" w:cs="Arial"/>
          <w:b/>
          <w:bCs/>
          <w:sz w:val="24"/>
        </w:rPr>
        <w:t>for alignment of radio-related measurements and QoE measurements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AB75DBE" w:rsidR="00CD4C7B" w:rsidRDefault="000F3FB3" w:rsidP="00CD4C7B">
      <w:r>
        <w:t>RAN3#112-e agreed on the basic framework for a</w:t>
      </w:r>
      <w:r w:rsidRPr="000F3FB3">
        <w:t xml:space="preserve">lignment of </w:t>
      </w:r>
      <w:r>
        <w:t>r</w:t>
      </w:r>
      <w:r w:rsidRPr="000F3FB3">
        <w:t>adio-</w:t>
      </w:r>
      <w:r>
        <w:t>r</w:t>
      </w:r>
      <w:r w:rsidRPr="000F3FB3">
        <w:t xml:space="preserve">elated </w:t>
      </w:r>
      <w:r>
        <w:t>m</w:t>
      </w:r>
      <w:r w:rsidRPr="000F3FB3">
        <w:t>easurement</w:t>
      </w:r>
      <w:r>
        <w:t>s</w:t>
      </w:r>
      <w:r w:rsidRPr="000F3FB3">
        <w:t xml:space="preserve"> and QoE </w:t>
      </w:r>
      <w:r>
        <w:t>m</w:t>
      </w:r>
      <w:r w:rsidRPr="000F3FB3">
        <w:t>easurements</w:t>
      </w:r>
      <w:r>
        <w:t xml:space="preserve"> by taking the following agreements:</w:t>
      </w:r>
    </w:p>
    <w:p w14:paraId="1563D4D6" w14:textId="77777777" w:rsidR="000F3FB3" w:rsidRDefault="000F3FB3" w:rsidP="00E16C95">
      <w:pPr>
        <w:numPr>
          <w:ilvl w:val="0"/>
          <w:numId w:val="6"/>
        </w:numPr>
        <w:spacing w:after="0"/>
        <w:rPr>
          <w:rFonts w:ascii="Calibri" w:hAnsi="Calibri" w:cs="Calibri"/>
          <w:color w:val="00B050"/>
          <w:sz w:val="16"/>
          <w:szCs w:val="16"/>
          <w:lang w:eastAsia="zh-CN"/>
        </w:rPr>
      </w:pPr>
      <w:r>
        <w:rPr>
          <w:rFonts w:ascii="Calibri" w:hAnsi="Calibri" w:cs="Calibri"/>
          <w:color w:val="00B050"/>
          <w:sz w:val="16"/>
          <w:szCs w:val="16"/>
        </w:rPr>
        <w:t>Immediate MDT is taken as baseline for the collection of Radio-related Measurements to assist QoE analysis.</w:t>
      </w:r>
    </w:p>
    <w:p w14:paraId="31E8E17F" w14:textId="77777777" w:rsidR="000F3FB3" w:rsidRDefault="000F3FB3" w:rsidP="00E16C95">
      <w:pPr>
        <w:numPr>
          <w:ilvl w:val="0"/>
          <w:numId w:val="6"/>
        </w:numPr>
        <w:spacing w:after="0"/>
        <w:rPr>
          <w:rFonts w:ascii="Calibri" w:hAnsi="Calibri" w:cs="Calibri"/>
          <w:color w:val="00B050"/>
          <w:sz w:val="16"/>
          <w:szCs w:val="16"/>
        </w:rPr>
      </w:pPr>
      <w:r>
        <w:rPr>
          <w:rFonts w:ascii="Calibri" w:hAnsi="Calibri" w:cs="Calibri"/>
          <w:color w:val="00B050"/>
          <w:sz w:val="16"/>
          <w:szCs w:val="16"/>
        </w:rPr>
        <w:t>Existing measurements specified for immediate MDT can be used for Radio-related measurements for QoE analysis.</w:t>
      </w:r>
    </w:p>
    <w:p w14:paraId="4E1F911D" w14:textId="77777777" w:rsidR="000F3FB3" w:rsidRDefault="000F3FB3" w:rsidP="00E16C95">
      <w:pPr>
        <w:numPr>
          <w:ilvl w:val="0"/>
          <w:numId w:val="6"/>
        </w:numPr>
        <w:spacing w:after="0"/>
        <w:rPr>
          <w:rFonts w:ascii="Calibri" w:hAnsi="Calibri" w:cs="Calibri"/>
          <w:color w:val="00B050"/>
          <w:sz w:val="16"/>
          <w:szCs w:val="16"/>
        </w:rPr>
      </w:pPr>
      <w:r>
        <w:rPr>
          <w:rFonts w:ascii="Calibri" w:hAnsi="Calibri" w:cs="Calibri"/>
          <w:color w:val="00B050"/>
          <w:sz w:val="16"/>
          <w:szCs w:val="16"/>
        </w:rPr>
        <w:t>New radio-related measurements, if any, should be defined in the SON/MDT WI.</w:t>
      </w:r>
    </w:p>
    <w:p w14:paraId="2C0EE66B" w14:textId="77777777" w:rsidR="000F3FB3" w:rsidRDefault="000F3FB3" w:rsidP="00E16C95">
      <w:pPr>
        <w:numPr>
          <w:ilvl w:val="0"/>
          <w:numId w:val="6"/>
        </w:numPr>
        <w:spacing w:after="0"/>
        <w:rPr>
          <w:rFonts w:ascii="Calibri" w:hAnsi="Calibri" w:cs="Calibri"/>
          <w:color w:val="00B050"/>
          <w:sz w:val="16"/>
          <w:szCs w:val="16"/>
        </w:rPr>
      </w:pPr>
      <w:r>
        <w:rPr>
          <w:rFonts w:ascii="Calibri" w:hAnsi="Calibri" w:cs="Calibri"/>
          <w:color w:val="00B050"/>
          <w:sz w:val="16"/>
          <w:szCs w:val="16"/>
        </w:rPr>
        <w:t>Radio-related measurement and QoE measurement can be configured simultaneously by OAM for the alignment.</w:t>
      </w:r>
    </w:p>
    <w:p w14:paraId="52AA6B64" w14:textId="77777777" w:rsidR="000F3FB3" w:rsidRDefault="000F3FB3" w:rsidP="00E16C95">
      <w:pPr>
        <w:numPr>
          <w:ilvl w:val="0"/>
          <w:numId w:val="6"/>
        </w:numPr>
        <w:spacing w:after="0"/>
        <w:rPr>
          <w:rFonts w:ascii="Calibri" w:hAnsi="Calibri" w:cs="Calibri"/>
          <w:color w:val="00B050"/>
          <w:sz w:val="16"/>
          <w:szCs w:val="16"/>
        </w:rPr>
      </w:pPr>
      <w:r>
        <w:rPr>
          <w:rFonts w:ascii="Calibri" w:hAnsi="Calibri" w:cs="Calibri"/>
          <w:color w:val="00B050"/>
          <w:sz w:val="16"/>
          <w:szCs w:val="16"/>
        </w:rPr>
        <w:t>OAM (e.g. TCE or MCE) is responsible for correlation.</w:t>
      </w:r>
    </w:p>
    <w:p w14:paraId="342C4DCE" w14:textId="77777777" w:rsidR="000F3FB3" w:rsidRDefault="000F3FB3" w:rsidP="000F3FB3">
      <w:pPr>
        <w:spacing w:after="0"/>
        <w:rPr>
          <w:rFonts w:ascii="Calibri" w:hAnsi="Calibri" w:cs="Calibri"/>
          <w:color w:val="00B050"/>
          <w:sz w:val="16"/>
          <w:szCs w:val="16"/>
        </w:rPr>
      </w:pPr>
    </w:p>
    <w:p w14:paraId="16DA416F" w14:textId="16C290B3" w:rsidR="000F3FB3" w:rsidRPr="000F3FB3" w:rsidRDefault="000F3FB3" w:rsidP="000F3FB3">
      <w:pPr>
        <w:spacing w:after="0"/>
      </w:pPr>
      <w:r w:rsidRPr="000F3FB3">
        <w:t xml:space="preserve">This paper </w:t>
      </w:r>
      <w:r w:rsidR="00E16C95">
        <w:t xml:space="preserve">briefly </w:t>
      </w:r>
      <w:r w:rsidRPr="000F3FB3">
        <w:t>discusses some points still left open.</w:t>
      </w:r>
    </w:p>
    <w:p w14:paraId="479DA40B" w14:textId="77777777" w:rsidR="00CD4C7B" w:rsidRPr="006E13D1" w:rsidRDefault="00CD4C7B" w:rsidP="00CD4C7B">
      <w:pPr>
        <w:pStyle w:val="Heading1"/>
      </w:pPr>
      <w:r w:rsidRPr="006E13D1">
        <w:t>2</w:t>
      </w:r>
      <w:r w:rsidRPr="006E13D1">
        <w:tab/>
      </w:r>
      <w:r w:rsidR="00972FD7">
        <w:t>Discussion</w:t>
      </w:r>
    </w:p>
    <w:p w14:paraId="05AB05FA" w14:textId="7EA821FC" w:rsidR="00CD4C7B" w:rsidRDefault="00E16C95" w:rsidP="00CD4C7B">
      <w:pPr>
        <w:pStyle w:val="00BodyText"/>
        <w:spacing w:after="0"/>
        <w:rPr>
          <w:rFonts w:ascii="Times New Roman" w:hAnsi="Times New Roman"/>
          <w:sz w:val="20"/>
          <w:lang w:val="en-GB"/>
        </w:rPr>
      </w:pPr>
      <w:r>
        <w:rPr>
          <w:rFonts w:ascii="Times New Roman" w:hAnsi="Times New Roman"/>
          <w:sz w:val="20"/>
          <w:lang w:val="en-GB"/>
        </w:rPr>
        <w:t>A first discussion point left open was captured by the following FFS:</w:t>
      </w:r>
    </w:p>
    <w:p w14:paraId="32B28570" w14:textId="77777777" w:rsidR="00E16C95" w:rsidRDefault="00E16C95" w:rsidP="00E16C95">
      <w:pPr>
        <w:numPr>
          <w:ilvl w:val="0"/>
          <w:numId w:val="5"/>
        </w:numPr>
        <w:spacing w:after="0"/>
        <w:rPr>
          <w:rFonts w:ascii="Calibri" w:hAnsi="Calibri" w:cs="Calibri"/>
          <w:color w:val="00B050"/>
          <w:sz w:val="16"/>
          <w:szCs w:val="16"/>
        </w:rPr>
      </w:pPr>
      <w:r>
        <w:rPr>
          <w:rFonts w:ascii="Calibri" w:hAnsi="Calibri" w:cs="Calibri"/>
          <w:color w:val="00B050"/>
          <w:sz w:val="16"/>
          <w:szCs w:val="16"/>
        </w:rPr>
        <w:t>QoE reference and Trace reference should be considered for correlation, how to correlate and whether other information is needed are FFS.</w:t>
      </w:r>
    </w:p>
    <w:p w14:paraId="132CC97B" w14:textId="383A3865" w:rsidR="00E16C95" w:rsidRDefault="00E16C95" w:rsidP="00CD4C7B">
      <w:pPr>
        <w:pStyle w:val="00BodyText"/>
        <w:spacing w:after="0"/>
        <w:rPr>
          <w:rFonts w:ascii="Times New Roman" w:hAnsi="Times New Roman"/>
          <w:sz w:val="20"/>
          <w:lang w:val="en-GB"/>
        </w:rPr>
      </w:pPr>
    </w:p>
    <w:p w14:paraId="2C9243D3" w14:textId="3CA57798" w:rsidR="00E16C95" w:rsidRDefault="00E16C95" w:rsidP="00CD4C7B">
      <w:pPr>
        <w:pStyle w:val="00BodyText"/>
        <w:spacing w:after="0"/>
        <w:rPr>
          <w:rFonts w:ascii="Times New Roman" w:hAnsi="Times New Roman"/>
          <w:sz w:val="20"/>
          <w:lang w:val="en-GB"/>
        </w:rPr>
      </w:pPr>
      <w:r>
        <w:rPr>
          <w:rFonts w:ascii="Times New Roman" w:hAnsi="Times New Roman"/>
          <w:sz w:val="20"/>
          <w:lang w:val="en-GB"/>
        </w:rPr>
        <w:t>However, considering the agreement "</w:t>
      </w:r>
      <w:r>
        <w:rPr>
          <w:rFonts w:ascii="Calibri" w:hAnsi="Calibri" w:cs="Calibri"/>
          <w:color w:val="00B050"/>
          <w:sz w:val="16"/>
          <w:szCs w:val="16"/>
        </w:rPr>
        <w:t>OAM (e.g. TCE or MCE) is responsible for correlation</w:t>
      </w:r>
      <w:r>
        <w:rPr>
          <w:rFonts w:ascii="Times New Roman" w:hAnsi="Times New Roman"/>
          <w:sz w:val="20"/>
          <w:lang w:val="en-GB"/>
        </w:rPr>
        <w:t>", details of correlation now seems to fall into SA5 scope. The same conclusion seems applicable for:</w:t>
      </w:r>
    </w:p>
    <w:p w14:paraId="725265EB" w14:textId="77777777" w:rsidR="00E16C95" w:rsidRPr="00E16C95" w:rsidRDefault="00E16C95" w:rsidP="00E16C95">
      <w:pPr>
        <w:numPr>
          <w:ilvl w:val="0"/>
          <w:numId w:val="5"/>
        </w:numPr>
        <w:rPr>
          <w:rFonts w:ascii="Calibri" w:hAnsi="Calibri" w:cs="Calibri"/>
          <w:i/>
          <w:iCs/>
          <w:color w:val="FF0000"/>
          <w:sz w:val="16"/>
          <w:szCs w:val="16"/>
        </w:rPr>
      </w:pPr>
      <w:r w:rsidRPr="00E16C95">
        <w:rPr>
          <w:rFonts w:ascii="Calibri" w:hAnsi="Calibri" w:cs="Calibri"/>
          <w:i/>
          <w:iCs/>
          <w:color w:val="FF0000"/>
          <w:sz w:val="16"/>
          <w:szCs w:val="16"/>
        </w:rPr>
        <w:t>Further discuss the case that MDT is configured before QoE configuration for the alignment.</w:t>
      </w:r>
    </w:p>
    <w:p w14:paraId="7831EDC0" w14:textId="4FF82C18" w:rsidR="00E16C95" w:rsidRPr="00E16C95" w:rsidRDefault="00E16C95" w:rsidP="00CD4C7B">
      <w:pPr>
        <w:pStyle w:val="00BodyText"/>
        <w:spacing w:after="0"/>
        <w:rPr>
          <w:rFonts w:ascii="Times New Roman" w:hAnsi="Times New Roman"/>
          <w:b/>
          <w:bCs/>
          <w:sz w:val="20"/>
          <w:lang w:val="en-GB"/>
        </w:rPr>
      </w:pPr>
      <w:r w:rsidRPr="00E16C95">
        <w:rPr>
          <w:rFonts w:ascii="Times New Roman" w:hAnsi="Times New Roman"/>
          <w:b/>
          <w:bCs/>
          <w:sz w:val="20"/>
          <w:lang w:val="en-GB"/>
        </w:rPr>
        <w:t>Proposal 1: Further details for correlation are now out of RAN3's scope.</w:t>
      </w:r>
    </w:p>
    <w:p w14:paraId="7EC068C9" w14:textId="3680DF94" w:rsidR="00E16C95" w:rsidRDefault="00E16C95" w:rsidP="00CD4C7B">
      <w:pPr>
        <w:pStyle w:val="00BodyText"/>
        <w:spacing w:after="0"/>
        <w:rPr>
          <w:rFonts w:ascii="Times New Roman" w:hAnsi="Times New Roman"/>
          <w:sz w:val="20"/>
          <w:lang w:val="en-GB"/>
        </w:rPr>
      </w:pPr>
    </w:p>
    <w:p w14:paraId="090E14A6" w14:textId="3FF077A7" w:rsidR="00E16C95" w:rsidRDefault="00E16C95" w:rsidP="00CD4C7B">
      <w:pPr>
        <w:pStyle w:val="00BodyText"/>
        <w:spacing w:after="0"/>
        <w:rPr>
          <w:rFonts w:ascii="Times New Roman" w:hAnsi="Times New Roman"/>
          <w:sz w:val="20"/>
          <w:lang w:val="en-GB"/>
        </w:rPr>
      </w:pPr>
      <w:r>
        <w:rPr>
          <w:rFonts w:ascii="Times New Roman" w:hAnsi="Times New Roman"/>
          <w:sz w:val="20"/>
          <w:lang w:val="en-GB"/>
        </w:rPr>
        <w:t>A second discussion point is:</w:t>
      </w:r>
    </w:p>
    <w:p w14:paraId="1BA5BD95" w14:textId="77777777" w:rsidR="00E16C95" w:rsidRDefault="00E16C95" w:rsidP="00E16C95">
      <w:pPr>
        <w:numPr>
          <w:ilvl w:val="0"/>
          <w:numId w:val="5"/>
        </w:numPr>
        <w:rPr>
          <w:rFonts w:ascii="Calibri" w:hAnsi="Calibri" w:cs="Calibri"/>
          <w:i/>
          <w:iCs/>
          <w:color w:val="FF0000"/>
          <w:sz w:val="16"/>
          <w:szCs w:val="16"/>
        </w:rPr>
      </w:pPr>
      <w:r>
        <w:rPr>
          <w:rFonts w:ascii="Calibri" w:hAnsi="Calibri" w:cs="Calibri"/>
          <w:i/>
          <w:iCs/>
          <w:color w:val="FF0000"/>
          <w:sz w:val="16"/>
          <w:szCs w:val="16"/>
        </w:rPr>
        <w:t>Further discuss the alignment approaches based on the below cases:</w:t>
      </w:r>
    </w:p>
    <w:p w14:paraId="4066BF5E" w14:textId="77777777" w:rsidR="00E16C95" w:rsidRDefault="00E16C95" w:rsidP="00E16C95">
      <w:pPr>
        <w:ind w:left="720"/>
        <w:rPr>
          <w:rFonts w:ascii="Calibri" w:hAnsi="Calibri" w:cs="Calibri"/>
          <w:i/>
          <w:iCs/>
          <w:color w:val="FF0000"/>
          <w:sz w:val="16"/>
          <w:szCs w:val="16"/>
        </w:rPr>
      </w:pPr>
      <w:r>
        <w:rPr>
          <w:rFonts w:ascii="Calibri" w:hAnsi="Calibri" w:cs="Calibri"/>
          <w:i/>
          <w:iCs/>
          <w:color w:val="FF0000"/>
          <w:sz w:val="16"/>
          <w:szCs w:val="16"/>
        </w:rPr>
        <w:t>- Radio-related measurements is used for QoE analysis.</w:t>
      </w:r>
    </w:p>
    <w:p w14:paraId="40C84281" w14:textId="77777777" w:rsidR="00E16C95" w:rsidRDefault="00E16C95" w:rsidP="00E16C95">
      <w:pPr>
        <w:ind w:left="720"/>
        <w:rPr>
          <w:rFonts w:ascii="Calibri" w:hAnsi="Calibri" w:cs="Calibri"/>
          <w:i/>
          <w:iCs/>
          <w:color w:val="FF0000"/>
          <w:sz w:val="16"/>
          <w:szCs w:val="16"/>
        </w:rPr>
      </w:pPr>
      <w:r>
        <w:rPr>
          <w:rFonts w:ascii="Calibri" w:hAnsi="Calibri" w:cs="Calibri"/>
          <w:i/>
          <w:iCs/>
          <w:color w:val="FF0000"/>
          <w:sz w:val="16"/>
          <w:szCs w:val="16"/>
        </w:rPr>
        <w:t>- Radio-related measurements is used for MDT purpose, but can also be used for QoE analysis.</w:t>
      </w:r>
    </w:p>
    <w:p w14:paraId="6320D257" w14:textId="77777777" w:rsidR="00BD27E6" w:rsidRDefault="00BD27E6" w:rsidP="00BD27E6">
      <w:pPr>
        <w:pStyle w:val="00BodyText"/>
        <w:spacing w:after="0"/>
        <w:rPr>
          <w:rFonts w:ascii="Times New Roman" w:hAnsi="Times New Roman"/>
          <w:sz w:val="20"/>
          <w:lang w:val="en-GB"/>
        </w:rPr>
      </w:pPr>
      <w:r>
        <w:rPr>
          <w:rFonts w:ascii="Times New Roman" w:hAnsi="Times New Roman"/>
          <w:sz w:val="20"/>
          <w:lang w:val="en-GB"/>
        </w:rPr>
        <w:t>The following is described in TR 38.890:</w:t>
      </w:r>
    </w:p>
    <w:p w14:paraId="7D323AEE" w14:textId="77777777" w:rsidR="00BD27E6" w:rsidRPr="0082282D" w:rsidRDefault="00BD27E6" w:rsidP="00BD27E6">
      <w:pPr>
        <w:pStyle w:val="00BodyText"/>
        <w:spacing w:after="0"/>
        <w:ind w:left="284"/>
        <w:rPr>
          <w:rFonts w:ascii="Times New Roman" w:hAnsi="Times New Roman"/>
          <w:sz w:val="16"/>
          <w:szCs w:val="16"/>
          <w:lang w:val="en-GB"/>
        </w:rPr>
      </w:pPr>
      <w:r w:rsidRPr="0082282D">
        <w:rPr>
          <w:bCs/>
          <w:sz w:val="18"/>
          <w:szCs w:val="14"/>
        </w:rPr>
        <w:t xml:space="preserve">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w:t>
      </w:r>
      <w:r w:rsidRPr="0082282D">
        <w:rPr>
          <w:rFonts w:hint="eastAsia"/>
          <w:bCs/>
          <w:sz w:val="18"/>
          <w:szCs w:val="14"/>
          <w:lang w:eastAsia="zh-CN"/>
        </w:rPr>
        <w:t>A</w:t>
      </w:r>
      <w:r w:rsidRPr="0082282D">
        <w:rPr>
          <w:bCs/>
          <w:sz w:val="18"/>
          <w:szCs w:val="14"/>
        </w:rPr>
        <w:t>pplication-related QoE measurements are only collected when the application session is ongoing</w:t>
      </w:r>
      <w:r w:rsidRPr="0082282D">
        <w:rPr>
          <w:rFonts w:hint="eastAsia"/>
          <w:bCs/>
          <w:sz w:val="18"/>
          <w:szCs w:val="14"/>
          <w:lang w:eastAsia="zh-CN"/>
        </w:rPr>
        <w:t>.</w:t>
      </w:r>
      <w:r w:rsidRPr="0082282D">
        <w:rPr>
          <w:bCs/>
          <w:sz w:val="18"/>
          <w:szCs w:val="14"/>
        </w:rPr>
        <w:t xml:space="preserve"> </w:t>
      </w:r>
      <w:r w:rsidRPr="0082282D">
        <w:rPr>
          <w:bCs/>
          <w:sz w:val="18"/>
          <w:szCs w:val="14"/>
          <w:highlight w:val="yellow"/>
        </w:rPr>
        <w:t>If these radio-related measurements are used for assisting application-related QoE measurements, it is beneficial and efficient if measurement collection and reporting can start at the same time.</w:t>
      </w:r>
    </w:p>
    <w:p w14:paraId="0B0BA8D0" w14:textId="77777777" w:rsidR="00BD27E6" w:rsidRDefault="00BD27E6" w:rsidP="00BD27E6">
      <w:pPr>
        <w:pStyle w:val="00BodyText"/>
        <w:spacing w:after="0"/>
        <w:rPr>
          <w:rFonts w:ascii="Times New Roman" w:hAnsi="Times New Roman"/>
          <w:sz w:val="20"/>
          <w:lang w:val="en-GB"/>
        </w:rPr>
      </w:pPr>
    </w:p>
    <w:p w14:paraId="5957D9DA" w14:textId="77777777" w:rsidR="00BD27E6" w:rsidRDefault="00BD27E6" w:rsidP="00BD27E6">
      <w:pPr>
        <w:pStyle w:val="00BodyText"/>
        <w:spacing w:after="0"/>
        <w:rPr>
          <w:rFonts w:ascii="Times New Roman" w:hAnsi="Times New Roman"/>
          <w:sz w:val="20"/>
          <w:lang w:val="en-GB"/>
        </w:rPr>
      </w:pPr>
      <w:r>
        <w:rPr>
          <w:rFonts w:ascii="Times New Roman" w:hAnsi="Times New Roman"/>
          <w:sz w:val="20"/>
          <w:lang w:val="en-GB"/>
        </w:rPr>
        <w:t>The question is therefore whether and how to ensure synchronized start and stop of MDT logs and QoE logs. There are two main options:</w:t>
      </w:r>
    </w:p>
    <w:p w14:paraId="1A4D5312" w14:textId="77777777" w:rsidR="00BD27E6" w:rsidRDefault="00BD27E6" w:rsidP="00BD27E6">
      <w:pPr>
        <w:pStyle w:val="00BodyText"/>
        <w:numPr>
          <w:ilvl w:val="0"/>
          <w:numId w:val="7"/>
        </w:numPr>
        <w:spacing w:after="0"/>
        <w:rPr>
          <w:rFonts w:ascii="Times New Roman" w:hAnsi="Times New Roman"/>
          <w:sz w:val="20"/>
          <w:lang w:val="en-GB"/>
        </w:rPr>
      </w:pPr>
      <w:r>
        <w:rPr>
          <w:rFonts w:ascii="Times New Roman" w:hAnsi="Times New Roman"/>
          <w:sz w:val="20"/>
          <w:lang w:val="en-GB"/>
        </w:rPr>
        <w:t>Network based: The gNB awaits reception of the first QoE measurement report before starting the configured MDT measurement.</w:t>
      </w:r>
    </w:p>
    <w:p w14:paraId="237888F9" w14:textId="77777777" w:rsidR="00BD27E6" w:rsidRDefault="00BD27E6" w:rsidP="00BD27E6">
      <w:pPr>
        <w:pStyle w:val="00BodyText"/>
        <w:numPr>
          <w:ilvl w:val="0"/>
          <w:numId w:val="7"/>
        </w:numPr>
        <w:spacing w:after="0"/>
        <w:rPr>
          <w:rFonts w:ascii="Times New Roman" w:hAnsi="Times New Roman"/>
          <w:sz w:val="20"/>
          <w:lang w:val="en-GB"/>
        </w:rPr>
      </w:pPr>
      <w:r>
        <w:rPr>
          <w:rFonts w:ascii="Times New Roman" w:hAnsi="Times New Roman"/>
          <w:sz w:val="20"/>
          <w:lang w:val="en-GB"/>
        </w:rPr>
        <w:t>UE-based: The UE detects start of the application session targeted for QoE reporting, and informs the gNB which triggers start of the configured MDT measurements.</w:t>
      </w:r>
    </w:p>
    <w:p w14:paraId="622B6B1B" w14:textId="77777777" w:rsidR="00BD27E6" w:rsidRDefault="00BD27E6" w:rsidP="00BD27E6">
      <w:pPr>
        <w:pStyle w:val="00BodyText"/>
        <w:spacing w:after="0"/>
        <w:rPr>
          <w:rFonts w:ascii="Times New Roman" w:hAnsi="Times New Roman"/>
          <w:sz w:val="20"/>
          <w:lang w:val="en-GB"/>
        </w:rPr>
      </w:pPr>
    </w:p>
    <w:p w14:paraId="36B8E2EB" w14:textId="77777777" w:rsidR="00BD27E6" w:rsidRDefault="00BD27E6" w:rsidP="00BD27E6">
      <w:pPr>
        <w:pStyle w:val="00BodyText"/>
        <w:spacing w:after="0"/>
        <w:rPr>
          <w:rFonts w:ascii="Times New Roman" w:hAnsi="Times New Roman"/>
          <w:sz w:val="20"/>
          <w:lang w:val="en-GB"/>
        </w:rPr>
      </w:pPr>
      <w:r>
        <w:rPr>
          <w:rFonts w:ascii="Times New Roman" w:hAnsi="Times New Roman"/>
          <w:sz w:val="20"/>
          <w:lang w:val="en-GB"/>
        </w:rPr>
        <w:lastRenderedPageBreak/>
        <w:t>The network based solution will have the relatively small drawback that MDT measurements will be started only upon reception of the first QoE measurement report, and will therefore not cover the first collection period. However this solution seems simple and should be sufficient, while UE impact will be avoided.</w:t>
      </w:r>
    </w:p>
    <w:p w14:paraId="6DE631BA" w14:textId="77777777" w:rsidR="00BD27E6" w:rsidRDefault="00BD27E6" w:rsidP="00BD27E6">
      <w:pPr>
        <w:pStyle w:val="00BodyText"/>
        <w:spacing w:after="0"/>
        <w:rPr>
          <w:rFonts w:ascii="Times New Roman" w:hAnsi="Times New Roman"/>
          <w:sz w:val="20"/>
          <w:lang w:val="en-GB"/>
        </w:rPr>
      </w:pPr>
    </w:p>
    <w:p w14:paraId="330E9D0A" w14:textId="36403D10" w:rsidR="00BD27E6" w:rsidRPr="006F79F4" w:rsidRDefault="00BD27E6" w:rsidP="00BD27E6">
      <w:pPr>
        <w:pStyle w:val="00BodyText"/>
        <w:spacing w:after="0"/>
        <w:rPr>
          <w:rFonts w:ascii="Times New Roman" w:hAnsi="Times New Roman"/>
          <w:b/>
          <w:bCs/>
          <w:sz w:val="20"/>
          <w:lang w:val="en-GB"/>
        </w:rPr>
      </w:pPr>
      <w:r w:rsidRPr="006F79F4">
        <w:rPr>
          <w:rFonts w:ascii="Times New Roman" w:hAnsi="Times New Roman"/>
          <w:b/>
          <w:bCs/>
          <w:sz w:val="20"/>
          <w:lang w:val="en-GB"/>
        </w:rPr>
        <w:t xml:space="preserve">Proposal </w:t>
      </w:r>
      <w:r>
        <w:rPr>
          <w:rFonts w:ascii="Times New Roman" w:hAnsi="Times New Roman"/>
          <w:b/>
          <w:bCs/>
          <w:sz w:val="20"/>
          <w:lang w:val="en-GB"/>
        </w:rPr>
        <w:t>2</w:t>
      </w:r>
      <w:r w:rsidRPr="006F79F4">
        <w:rPr>
          <w:rFonts w:ascii="Times New Roman" w:hAnsi="Times New Roman"/>
          <w:b/>
          <w:bCs/>
          <w:sz w:val="20"/>
          <w:lang w:val="en-GB"/>
        </w:rPr>
        <w:t>: Use network based solution for Synchronized start and stop of MDT and QoE logs.</w:t>
      </w:r>
    </w:p>
    <w:p w14:paraId="072B1A89" w14:textId="07DE95F0" w:rsidR="00E16C95" w:rsidRDefault="00E16C95" w:rsidP="00CD4C7B">
      <w:pPr>
        <w:pStyle w:val="00BodyText"/>
        <w:spacing w:after="0"/>
        <w:rPr>
          <w:rFonts w:ascii="Times New Roman" w:hAnsi="Times New Roman"/>
          <w:sz w:val="20"/>
          <w:lang w:val="en-GB"/>
        </w:rPr>
      </w:pPr>
    </w:p>
    <w:p w14:paraId="0743160A" w14:textId="77777777" w:rsidR="00E16C95" w:rsidRPr="00972FD7" w:rsidRDefault="00E16C95"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3A4C2E4F" w14:textId="629086E2" w:rsidR="00BD27E6" w:rsidRDefault="00BD27E6" w:rsidP="00BD27E6">
      <w:pPr>
        <w:pStyle w:val="00BodyText"/>
        <w:spacing w:after="0"/>
        <w:rPr>
          <w:rFonts w:ascii="Times New Roman" w:hAnsi="Times New Roman"/>
          <w:b/>
          <w:bCs/>
          <w:sz w:val="20"/>
          <w:lang w:val="en-GB"/>
        </w:rPr>
      </w:pPr>
      <w:r w:rsidRPr="00E16C95">
        <w:rPr>
          <w:rFonts w:ascii="Times New Roman" w:hAnsi="Times New Roman"/>
          <w:b/>
          <w:bCs/>
          <w:sz w:val="20"/>
          <w:lang w:val="en-GB"/>
        </w:rPr>
        <w:t>Proposal 1: Further details for correlation are now out of RAN3's scope.</w:t>
      </w:r>
    </w:p>
    <w:p w14:paraId="5D9374ED" w14:textId="7CF9865B" w:rsidR="00BD27E6" w:rsidRDefault="00BD27E6" w:rsidP="00BD27E6">
      <w:pPr>
        <w:pStyle w:val="00BodyText"/>
        <w:spacing w:after="0"/>
        <w:rPr>
          <w:rFonts w:ascii="Times New Roman" w:hAnsi="Times New Roman"/>
          <w:b/>
          <w:bCs/>
          <w:sz w:val="20"/>
          <w:lang w:val="en-GB"/>
        </w:rPr>
      </w:pPr>
    </w:p>
    <w:p w14:paraId="4FF9A11F" w14:textId="77777777" w:rsidR="00BD27E6" w:rsidRPr="006F79F4" w:rsidRDefault="00BD27E6" w:rsidP="00BD27E6">
      <w:pPr>
        <w:pStyle w:val="00BodyText"/>
        <w:spacing w:after="0"/>
        <w:rPr>
          <w:rFonts w:ascii="Times New Roman" w:hAnsi="Times New Roman"/>
          <w:b/>
          <w:bCs/>
          <w:sz w:val="20"/>
          <w:lang w:val="en-GB"/>
        </w:rPr>
      </w:pPr>
      <w:r w:rsidRPr="006F79F4">
        <w:rPr>
          <w:rFonts w:ascii="Times New Roman" w:hAnsi="Times New Roman"/>
          <w:b/>
          <w:bCs/>
          <w:sz w:val="20"/>
          <w:lang w:val="en-GB"/>
        </w:rPr>
        <w:t xml:space="preserve">Proposal </w:t>
      </w:r>
      <w:r>
        <w:rPr>
          <w:rFonts w:ascii="Times New Roman" w:hAnsi="Times New Roman"/>
          <w:b/>
          <w:bCs/>
          <w:sz w:val="20"/>
          <w:lang w:val="en-GB"/>
        </w:rPr>
        <w:t>2</w:t>
      </w:r>
      <w:r w:rsidRPr="006F79F4">
        <w:rPr>
          <w:rFonts w:ascii="Times New Roman" w:hAnsi="Times New Roman"/>
          <w:b/>
          <w:bCs/>
          <w:sz w:val="20"/>
          <w:lang w:val="en-GB"/>
        </w:rPr>
        <w:t>: Use network based solution for Synchronized start and stop of MDT and QoE logs.</w:t>
      </w:r>
    </w:p>
    <w:p w14:paraId="0BA43E3C" w14:textId="77777777" w:rsidR="00BD27E6" w:rsidRPr="00E16C95" w:rsidRDefault="00BD27E6" w:rsidP="00BD27E6">
      <w:pPr>
        <w:pStyle w:val="00BodyText"/>
        <w:spacing w:after="0"/>
        <w:rPr>
          <w:rFonts w:ascii="Times New Roman" w:hAnsi="Times New Roman"/>
          <w:b/>
          <w:bCs/>
          <w:sz w:val="20"/>
          <w:lang w:val="en-GB"/>
        </w:rPr>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DB851" w14:textId="77777777" w:rsidR="00E65952" w:rsidRDefault="00E65952">
      <w:r>
        <w:separator/>
      </w:r>
    </w:p>
  </w:endnote>
  <w:endnote w:type="continuationSeparator" w:id="0">
    <w:p w14:paraId="7F3EEE2E" w14:textId="77777777" w:rsidR="00E65952" w:rsidRDefault="00E6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84316" w14:textId="77777777" w:rsidR="00E65952" w:rsidRDefault="00E65952">
      <w:r>
        <w:separator/>
      </w:r>
    </w:p>
  </w:footnote>
  <w:footnote w:type="continuationSeparator" w:id="0">
    <w:p w14:paraId="69BA731F" w14:textId="77777777" w:rsidR="00E65952" w:rsidRDefault="00E65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B266F"/>
    <w:multiLevelType w:val="hybridMultilevel"/>
    <w:tmpl w:val="6DA01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E80C6A"/>
    <w:multiLevelType w:val="hybridMultilevel"/>
    <w:tmpl w:val="DA78A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9786EDA"/>
    <w:multiLevelType w:val="hybridMultilevel"/>
    <w:tmpl w:val="C1AC6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0F3FB3"/>
    <w:rsid w:val="001075B7"/>
    <w:rsid w:val="001370F2"/>
    <w:rsid w:val="001549DD"/>
    <w:rsid w:val="00194CD0"/>
    <w:rsid w:val="001B08B3"/>
    <w:rsid w:val="001C4281"/>
    <w:rsid w:val="001D0D3F"/>
    <w:rsid w:val="001F168B"/>
    <w:rsid w:val="001F70B7"/>
    <w:rsid w:val="00225F6D"/>
    <w:rsid w:val="0022606D"/>
    <w:rsid w:val="002305DD"/>
    <w:rsid w:val="00243BC7"/>
    <w:rsid w:val="002623FC"/>
    <w:rsid w:val="002747EC"/>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64695"/>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3B01"/>
    <w:rsid w:val="005A4971"/>
    <w:rsid w:val="005B1232"/>
    <w:rsid w:val="005B2EEF"/>
    <w:rsid w:val="005D4274"/>
    <w:rsid w:val="00605E3E"/>
    <w:rsid w:val="00606DA9"/>
    <w:rsid w:val="00611566"/>
    <w:rsid w:val="00656E1E"/>
    <w:rsid w:val="006604E4"/>
    <w:rsid w:val="006C54B5"/>
    <w:rsid w:val="006D1E24"/>
    <w:rsid w:val="00734A5B"/>
    <w:rsid w:val="00741EC5"/>
    <w:rsid w:val="00743525"/>
    <w:rsid w:val="00744E76"/>
    <w:rsid w:val="007476DB"/>
    <w:rsid w:val="00757D40"/>
    <w:rsid w:val="00774846"/>
    <w:rsid w:val="00781F0F"/>
    <w:rsid w:val="0078727C"/>
    <w:rsid w:val="00797D4B"/>
    <w:rsid w:val="007C095F"/>
    <w:rsid w:val="007D3264"/>
    <w:rsid w:val="007D5902"/>
    <w:rsid w:val="00802106"/>
    <w:rsid w:val="008028A4"/>
    <w:rsid w:val="00806520"/>
    <w:rsid w:val="00830106"/>
    <w:rsid w:val="00840916"/>
    <w:rsid w:val="00853EDD"/>
    <w:rsid w:val="008604EE"/>
    <w:rsid w:val="0087401D"/>
    <w:rsid w:val="008768CA"/>
    <w:rsid w:val="00880559"/>
    <w:rsid w:val="008C490B"/>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53724"/>
    <w:rsid w:val="00A82346"/>
    <w:rsid w:val="00A8361A"/>
    <w:rsid w:val="00A9671C"/>
    <w:rsid w:val="00AD4BCF"/>
    <w:rsid w:val="00AF4A8E"/>
    <w:rsid w:val="00AF78D5"/>
    <w:rsid w:val="00B1063A"/>
    <w:rsid w:val="00B15449"/>
    <w:rsid w:val="00B9781E"/>
    <w:rsid w:val="00BD27E6"/>
    <w:rsid w:val="00BF79F1"/>
    <w:rsid w:val="00C03035"/>
    <w:rsid w:val="00C275BC"/>
    <w:rsid w:val="00C33079"/>
    <w:rsid w:val="00C365F1"/>
    <w:rsid w:val="00C43B31"/>
    <w:rsid w:val="00C50536"/>
    <w:rsid w:val="00C55EB7"/>
    <w:rsid w:val="00CA3D0C"/>
    <w:rsid w:val="00CB6651"/>
    <w:rsid w:val="00CB6887"/>
    <w:rsid w:val="00CD4C7B"/>
    <w:rsid w:val="00D22038"/>
    <w:rsid w:val="00D45717"/>
    <w:rsid w:val="00D738D6"/>
    <w:rsid w:val="00D80795"/>
    <w:rsid w:val="00D87E00"/>
    <w:rsid w:val="00D908B4"/>
    <w:rsid w:val="00D9134D"/>
    <w:rsid w:val="00D97CD9"/>
    <w:rsid w:val="00DA7A03"/>
    <w:rsid w:val="00DB1818"/>
    <w:rsid w:val="00DC309B"/>
    <w:rsid w:val="00DC4DA2"/>
    <w:rsid w:val="00DE1406"/>
    <w:rsid w:val="00E07838"/>
    <w:rsid w:val="00E16C95"/>
    <w:rsid w:val="00E340BC"/>
    <w:rsid w:val="00E51F8B"/>
    <w:rsid w:val="00E62835"/>
    <w:rsid w:val="00E65952"/>
    <w:rsid w:val="00E77645"/>
    <w:rsid w:val="00E852FF"/>
    <w:rsid w:val="00E90ABE"/>
    <w:rsid w:val="00EA22F8"/>
    <w:rsid w:val="00EC4A25"/>
    <w:rsid w:val="00EE0A1E"/>
    <w:rsid w:val="00F025A2"/>
    <w:rsid w:val="00F103F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40</TotalTime>
  <Pages>2</Pages>
  <Words>541</Words>
  <Characters>2981</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21</cp:revision>
  <dcterms:created xsi:type="dcterms:W3CDTF">2019-06-29T13:33:00Z</dcterms:created>
  <dcterms:modified xsi:type="dcterms:W3CDTF">2021-08-05T14:34:00Z</dcterms:modified>
</cp:coreProperties>
</file>